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>
          <w:rFonts w:ascii="Arial" w:cs="Arial" w:hAnsi="Arial"/>
          <w:sz w:val="24"/>
          <w:szCs w:val="24"/>
        </w:rPr>
        <w:t xml:space="preserve">                                    </w:t>
      </w:r>
      <w:r>
        <w:rPr>
          <w:rFonts w:ascii="Arial" w:cs="Arial" w:hAnsi="Arial"/>
          <w:sz w:val="24"/>
          <w:szCs w:val="24"/>
        </w:rPr>
        <w:tab/>
        <w:tab/>
        <w:tab/>
        <w:tab/>
        <w:t>Warszawa, dn. 22 grudnia 2014 r.</w:t>
      </w:r>
    </w:p>
    <w:p>
      <w:pPr>
        <w:pStyle w:val="style0"/>
      </w:pPr>
      <w:r>
        <w:rPr>
          <w:rFonts w:ascii="Arial" w:cs="Arial" w:hAnsi="Arial"/>
          <w:sz w:val="24"/>
          <w:szCs w:val="24"/>
        </w:rPr>
      </w:r>
    </w:p>
    <w:p>
      <w:pPr>
        <w:pStyle w:val="style0"/>
        <w:jc w:val="center"/>
      </w:pPr>
      <w:r>
        <w:rPr>
          <w:rFonts w:ascii="Arial" w:cs="Arial" w:hAnsi="Arial"/>
          <w:sz w:val="28"/>
          <w:szCs w:val="28"/>
        </w:rPr>
        <w:t>OGŁOSZENIE O KONKURSIE OFERT</w:t>
      </w:r>
    </w:p>
    <w:p>
      <w:pPr>
        <w:pStyle w:val="style0"/>
      </w:pPr>
      <w:r>
        <w:rPr>
          <w:rFonts w:ascii="Arial" w:cs="Arial" w:hAnsi="Arial"/>
          <w:sz w:val="24"/>
          <w:szCs w:val="24"/>
        </w:rPr>
      </w:r>
    </w:p>
    <w:p>
      <w:pPr>
        <w:pStyle w:val="style0"/>
      </w:pPr>
      <w:r>
        <w:rPr>
          <w:rFonts w:ascii="Arial" w:cs="Arial" w:hAnsi="Arial"/>
          <w:sz w:val="24"/>
          <w:szCs w:val="24"/>
        </w:rPr>
        <w:t>Działając na zasadach określonych w art. 26 ustawy z dnia 15 kwietnia 2011 r. o działalności leczniczej (Dz. U. z 2013 r poz. 217 z późn. zm.) Instytut Hematologii i Transfuzjologii ogłasza konkurs ofert, znak: IHiT-DOPS-504-5/2014 na udzielanie świadczeń zdrowotnych, polegających na wykonywaniu badań :</w:t>
      </w:r>
    </w:p>
    <w:p>
      <w:pPr>
        <w:pStyle w:val="style22"/>
        <w:numPr>
          <w:ilvl w:val="0"/>
          <w:numId w:val="1"/>
        </w:numPr>
      </w:pPr>
      <w:r>
        <w:rPr>
          <w:rFonts w:ascii="Arial" w:cs="Arial" w:hAnsi="Arial"/>
          <w:b/>
          <w:sz w:val="24"/>
          <w:szCs w:val="24"/>
        </w:rPr>
        <w:t>Pozytonowej emisji tomografii komputerowej (PET –CT) całego ciała;</w:t>
      </w:r>
    </w:p>
    <w:p>
      <w:pPr>
        <w:pStyle w:val="style22"/>
        <w:numPr>
          <w:ilvl w:val="0"/>
          <w:numId w:val="1"/>
        </w:numPr>
      </w:pPr>
      <w:r>
        <w:rPr>
          <w:rFonts w:ascii="Arial" w:cs="Arial" w:hAnsi="Arial"/>
          <w:b/>
          <w:sz w:val="24"/>
          <w:szCs w:val="24"/>
        </w:rPr>
        <w:t xml:space="preserve">Scyntygrafii całego ciała      </w:t>
      </w:r>
    </w:p>
    <w:p>
      <w:pPr>
        <w:pStyle w:val="style0"/>
        <w:ind w:hanging="0" w:left="360" w:right="0"/>
      </w:pPr>
      <w:r>
        <w:rPr>
          <w:rFonts w:ascii="Arial" w:cs="Arial" w:hAnsi="Arial"/>
          <w:b/>
          <w:sz w:val="24"/>
          <w:szCs w:val="24"/>
        </w:rPr>
        <w:t xml:space="preserve">W ramach realizacji </w:t>
      </w:r>
      <w:r>
        <w:rPr>
          <w:rFonts w:ascii="Arial" w:cs="Arial" w:hAnsi="Arial"/>
          <w:b/>
          <w:i/>
          <w:sz w:val="24"/>
          <w:szCs w:val="24"/>
        </w:rPr>
        <w:t xml:space="preserve">Pakietu Onkologicznego                </w:t>
      </w:r>
    </w:p>
    <w:p>
      <w:pPr>
        <w:pStyle w:val="style22"/>
        <w:numPr>
          <w:ilvl w:val="0"/>
          <w:numId w:val="2"/>
        </w:numPr>
      </w:pPr>
      <w:bookmarkStart w:id="0" w:name="_GoBack"/>
      <w:bookmarkEnd w:id="0"/>
      <w:r>
        <w:rPr>
          <w:rFonts w:ascii="Arial" w:cs="Arial" w:hAnsi="Arial"/>
          <w:sz w:val="24"/>
          <w:szCs w:val="24"/>
        </w:rPr>
        <w:t>Umowa zostanie zawarta na okres od 2 stycznia 2015 r. do 30 czerwca 2016 r.</w:t>
      </w:r>
    </w:p>
    <w:p>
      <w:pPr>
        <w:pStyle w:val="style22"/>
        <w:numPr>
          <w:ilvl w:val="0"/>
          <w:numId w:val="2"/>
        </w:numPr>
      </w:pPr>
      <w:r>
        <w:rPr>
          <w:rFonts w:ascii="Arial" w:cs="Arial" w:hAnsi="Arial"/>
          <w:sz w:val="24"/>
          <w:szCs w:val="24"/>
        </w:rPr>
        <w:t>Oferty należy składać w siedzibie Udzielającego zamówienia:</w:t>
      </w:r>
    </w:p>
    <w:p>
      <w:pPr>
        <w:pStyle w:val="style0"/>
        <w:ind w:hanging="0" w:left="1080" w:right="0"/>
      </w:pPr>
      <w:r>
        <w:rPr>
          <w:rFonts w:ascii="Arial" w:cs="Arial" w:hAnsi="Arial"/>
          <w:sz w:val="24"/>
          <w:szCs w:val="24"/>
        </w:rPr>
        <w:t>Instytut Hematologii i Transfuzjologii</w:t>
      </w:r>
    </w:p>
    <w:p>
      <w:pPr>
        <w:pStyle w:val="style0"/>
        <w:ind w:hanging="0" w:left="1080" w:right="0"/>
      </w:pPr>
      <w:r>
        <w:rPr>
          <w:rFonts w:ascii="Arial" w:cs="Arial" w:hAnsi="Arial"/>
          <w:sz w:val="24"/>
          <w:szCs w:val="24"/>
        </w:rPr>
        <w:t>Ul. Indiry Gandhi 14, 02-776 Warszawa, I piętro pokój nr 144 A (Kancelaria)</w:t>
      </w:r>
    </w:p>
    <w:p>
      <w:pPr>
        <w:pStyle w:val="style0"/>
        <w:ind w:hanging="0" w:left="1080" w:right="0"/>
      </w:pPr>
      <w:r>
        <w:rPr>
          <w:rFonts w:ascii="Arial" w:cs="Arial" w:hAnsi="Arial"/>
          <w:sz w:val="24"/>
          <w:szCs w:val="24"/>
        </w:rPr>
        <w:t>do dnia 31grudnia 2014 r do godz. 10.00</w:t>
      </w:r>
    </w:p>
    <w:p>
      <w:pPr>
        <w:pStyle w:val="style22"/>
        <w:numPr>
          <w:ilvl w:val="0"/>
          <w:numId w:val="2"/>
        </w:numPr>
      </w:pPr>
      <w:r>
        <w:rPr>
          <w:rFonts w:ascii="Arial" w:cs="Arial" w:hAnsi="Arial"/>
          <w:sz w:val="24"/>
          <w:szCs w:val="24"/>
        </w:rPr>
        <w:t>Otwarcie ofert konkursowych nastąpi w siedzibie Udzielającego zamówienia</w:t>
      </w:r>
    </w:p>
    <w:p>
      <w:pPr>
        <w:pStyle w:val="style0"/>
        <w:ind w:firstLine="708" w:left="372" w:right="0"/>
      </w:pPr>
      <w:r>
        <w:rPr>
          <w:rFonts w:ascii="Arial" w:cs="Arial" w:hAnsi="Arial"/>
          <w:sz w:val="24"/>
          <w:szCs w:val="24"/>
        </w:rPr>
        <w:t>w dniu 31 grudnia 2014 r o godz. 11.00 pokój 004 (parter)</w:t>
      </w:r>
    </w:p>
    <w:p>
      <w:pPr>
        <w:pStyle w:val="style22"/>
        <w:numPr>
          <w:ilvl w:val="0"/>
          <w:numId w:val="2"/>
        </w:numPr>
      </w:pPr>
      <w:r>
        <w:rPr>
          <w:rFonts w:ascii="Arial" w:cs="Arial" w:hAnsi="Arial"/>
          <w:sz w:val="24"/>
          <w:szCs w:val="24"/>
        </w:rPr>
        <w:t>Oferent będzie związany ofertą przez okres 30 dni od upływu terminu składania ofert.</w:t>
      </w:r>
    </w:p>
    <w:p>
      <w:pPr>
        <w:pStyle w:val="style22"/>
        <w:numPr>
          <w:ilvl w:val="0"/>
          <w:numId w:val="2"/>
        </w:numPr>
      </w:pPr>
      <w:r>
        <w:rPr>
          <w:rFonts w:ascii="Arial" w:cs="Arial" w:hAnsi="Arial"/>
          <w:sz w:val="24"/>
          <w:szCs w:val="24"/>
        </w:rPr>
        <w:t>Konkurs zostanie rozstrzygnięty w ciągu 7 dni od upływu terminu składania ofert. Wyniki zostaną zamieszczone na stronie internetowej Udzielającego zamówienia, tablicy ogłoszeń oraz wysłane faksem do Oferentów</w:t>
      </w:r>
    </w:p>
    <w:p>
      <w:pPr>
        <w:pStyle w:val="style22"/>
        <w:numPr>
          <w:ilvl w:val="0"/>
          <w:numId w:val="2"/>
        </w:numPr>
      </w:pPr>
      <w:r>
        <w:rPr>
          <w:rFonts w:ascii="Arial" w:cs="Arial" w:hAnsi="Arial"/>
          <w:sz w:val="24"/>
          <w:szCs w:val="24"/>
        </w:rPr>
        <w:t>Oferentom udostępnia się:</w:t>
      </w:r>
    </w:p>
    <w:p>
      <w:pPr>
        <w:pStyle w:val="style22"/>
        <w:numPr>
          <w:ilvl w:val="0"/>
          <w:numId w:val="3"/>
        </w:numPr>
      </w:pPr>
      <w:r>
        <w:rPr>
          <w:rFonts w:ascii="Arial" w:cs="Arial" w:hAnsi="Arial"/>
          <w:sz w:val="24"/>
          <w:szCs w:val="24"/>
        </w:rPr>
        <w:t>Szczegółowe warunki konkursu ofert (z załącznikami)</w:t>
      </w:r>
    </w:p>
    <w:p>
      <w:pPr>
        <w:pStyle w:val="style22"/>
        <w:numPr>
          <w:ilvl w:val="0"/>
          <w:numId w:val="3"/>
        </w:numPr>
      </w:pPr>
      <w:r>
        <w:rPr>
          <w:rFonts w:ascii="Arial" w:cs="Arial" w:hAnsi="Arial"/>
          <w:sz w:val="24"/>
          <w:szCs w:val="24"/>
        </w:rPr>
        <w:t>Formularz oferty</w:t>
      </w:r>
    </w:p>
    <w:p>
      <w:pPr>
        <w:pStyle w:val="style22"/>
        <w:numPr>
          <w:ilvl w:val="0"/>
          <w:numId w:val="3"/>
        </w:numPr>
      </w:pPr>
      <w:r>
        <w:rPr>
          <w:rFonts w:ascii="Arial" w:cs="Arial" w:hAnsi="Arial"/>
          <w:sz w:val="24"/>
          <w:szCs w:val="24"/>
        </w:rPr>
        <w:t>Projekt umowy</w:t>
      </w:r>
    </w:p>
    <w:p>
      <w:pPr>
        <w:pStyle w:val="style0"/>
        <w:ind w:hanging="0" w:left="1068" w:right="0"/>
      </w:pPr>
      <w:r>
        <w:rPr>
          <w:rFonts w:ascii="Arial" w:cs="Arial" w:hAnsi="Arial"/>
          <w:sz w:val="24"/>
          <w:szCs w:val="24"/>
        </w:rPr>
        <w:t>Powyższe dokumenty dostępne są na stronie internetowej oraz w siedzibie Udzielającego zamówienia, Dział Promocji i Szkoleń, pokój nr 004 (parter)</w:t>
      </w:r>
    </w:p>
    <w:p>
      <w:pPr>
        <w:pStyle w:val="style22"/>
        <w:numPr>
          <w:ilvl w:val="0"/>
          <w:numId w:val="2"/>
        </w:numPr>
      </w:pPr>
      <w:r>
        <w:rPr>
          <w:rFonts w:ascii="Arial" w:cs="Arial" w:hAnsi="Arial"/>
          <w:sz w:val="24"/>
          <w:szCs w:val="24"/>
        </w:rPr>
        <w:t>Zastrzega się prawo odwołania konkursu oraz przesunięcie terminu składania ofert.</w:t>
      </w:r>
    </w:p>
    <w:p>
      <w:pPr>
        <w:pStyle w:val="style22"/>
        <w:numPr>
          <w:ilvl w:val="0"/>
          <w:numId w:val="2"/>
        </w:numPr>
      </w:pPr>
      <w:r>
        <w:rPr>
          <w:rFonts w:ascii="Arial" w:cs="Arial" w:hAnsi="Arial"/>
          <w:sz w:val="24"/>
          <w:szCs w:val="24"/>
        </w:rPr>
        <w:t>Oferent może złożyć do Komisji konkursowej umotywowany protest w terminie 7 dni od dnia dokonania zaskarżonej czynności. Protest złożony po terminie nie podlega rozpatrzeniu.</w:t>
      </w:r>
    </w:p>
    <w:p>
      <w:pPr>
        <w:pStyle w:val="style0"/>
        <w:ind w:hanging="0" w:left="1080" w:right="0"/>
      </w:pPr>
      <w:r>
        <w:rPr>
          <w:i/>
        </w:rPr>
        <w:t xml:space="preserve">                                              </w:t>
      </w:r>
    </w:p>
    <w:p>
      <w:pPr>
        <w:pStyle w:val="style0"/>
        <w:ind w:hanging="0" w:left="1080" w:right="0"/>
      </w:pPr>
      <w:r>
        <w:rPr>
          <w:rFonts w:ascii="Arial" w:cs="Arial" w:hAnsi="Arial"/>
          <w:i/>
        </w:rPr>
      </w:r>
    </w:p>
    <w:p>
      <w:pPr>
        <w:pStyle w:val="style0"/>
      </w:pPr>
      <w:r>
        <w:rPr/>
      </w:r>
    </w:p>
    <w:sectPr>
      <w:type w:val="nextPage"/>
      <w:pgSz w:h="16838" w:w="11906"/>
      <w:pgMar w:bottom="1417" w:footer="0" w:gutter="0" w:header="0" w:left="1417" w:right="1417" w:top="1417"/>
      <w:pgNumType w:fmt="decimal"/>
      <w:formProt w:val="false"/>
      <w:textDirection w:val="lrTb"/>
      <w:docGrid w:charSpace="-2049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2.%3."/>
      <w:lvlJc w:val="right"/>
      <w:pPr>
        <w:ind w:hanging="180" w:left="2160"/>
      </w:pPr>
    </w:lvl>
    <w:lvl w:ilvl="3">
      <w:start w:val="1"/>
      <w:numFmt w:val="decimal"/>
      <w:lvlText w:val="%2.%3.%4."/>
      <w:lvlJc w:val="left"/>
      <w:pPr>
        <w:ind w:hanging="360" w:left="2880"/>
      </w:pPr>
    </w:lvl>
    <w:lvl w:ilvl="4">
      <w:start w:val="1"/>
      <w:numFmt w:val="lowerLetter"/>
      <w:lvlText w:val="%2.%3.%4.%5."/>
      <w:lvlJc w:val="left"/>
      <w:pPr>
        <w:ind w:hanging="360" w:left="3600"/>
      </w:pPr>
    </w:lvl>
    <w:lvl w:ilvl="5">
      <w:start w:val="1"/>
      <w:numFmt w:val="lowerRoman"/>
      <w:lvlText w:val="%2.%3.%4.%5.%6."/>
      <w:lvlJc w:val="right"/>
      <w:pPr>
        <w:ind w:hanging="180" w:left="4320"/>
      </w:pPr>
    </w:lvl>
    <w:lvl w:ilvl="6">
      <w:start w:val="1"/>
      <w:numFmt w:val="decimal"/>
      <w:lvlText w:val="%2.%3.%4.%5.%6.%7."/>
      <w:lvlJc w:val="left"/>
      <w:pPr>
        <w:ind w:hanging="360" w:left="5040"/>
      </w:pPr>
    </w:lvl>
    <w:lvl w:ilvl="7">
      <w:start w:val="1"/>
      <w:numFmt w:val="lowerLetter"/>
      <w:lvlText w:val="%2.%3.%4.%5.%6.%7.%8."/>
      <w:lvlJc w:val="left"/>
      <w:pPr>
        <w:ind w:hanging="360" w:left="5760"/>
      </w:pPr>
    </w:lvl>
    <w:lvl w:ilvl="8">
      <w:start w:val="1"/>
      <w:numFmt w:val="lowerRoman"/>
      <w:lvlText w:val="%2.%3.%4.%5.%6.%7.%8.%9."/>
      <w:lvlJc w:val="right"/>
      <w:pPr>
        <w:ind w:hanging="180" w:left="6480"/>
      </w:pPr>
    </w:lvl>
  </w:abstractNum>
  <w:abstractNum w:abstractNumId="2">
    <w:lvl w:ilvl="0">
      <w:start w:val="1"/>
      <w:numFmt w:val="upperRoman"/>
      <w:lvlText w:val="%1."/>
      <w:lvlJc w:val="left"/>
      <w:pPr>
        <w:ind w:hanging="720" w:left="1080"/>
      </w:pPr>
      <w:rPr>
        <w:i w:val="false"/>
      </w:r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2.%3."/>
      <w:lvlJc w:val="right"/>
      <w:pPr>
        <w:ind w:hanging="180" w:left="2160"/>
      </w:pPr>
    </w:lvl>
    <w:lvl w:ilvl="3">
      <w:start w:val="1"/>
      <w:numFmt w:val="decimal"/>
      <w:lvlText w:val="%2.%3.%4."/>
      <w:lvlJc w:val="left"/>
      <w:pPr>
        <w:ind w:hanging="360" w:left="2880"/>
      </w:pPr>
    </w:lvl>
    <w:lvl w:ilvl="4">
      <w:start w:val="1"/>
      <w:numFmt w:val="lowerLetter"/>
      <w:lvlText w:val="%2.%3.%4.%5."/>
      <w:lvlJc w:val="left"/>
      <w:pPr>
        <w:ind w:hanging="360" w:left="3600"/>
      </w:pPr>
    </w:lvl>
    <w:lvl w:ilvl="5">
      <w:start w:val="1"/>
      <w:numFmt w:val="lowerRoman"/>
      <w:lvlText w:val="%2.%3.%4.%5.%6."/>
      <w:lvlJc w:val="right"/>
      <w:pPr>
        <w:ind w:hanging="180" w:left="4320"/>
      </w:pPr>
    </w:lvl>
    <w:lvl w:ilvl="6">
      <w:start w:val="1"/>
      <w:numFmt w:val="decimal"/>
      <w:lvlText w:val="%2.%3.%4.%5.%6.%7."/>
      <w:lvlJc w:val="left"/>
      <w:pPr>
        <w:ind w:hanging="360" w:left="5040"/>
      </w:pPr>
    </w:lvl>
    <w:lvl w:ilvl="7">
      <w:start w:val="1"/>
      <w:numFmt w:val="lowerLetter"/>
      <w:lvlText w:val="%2.%3.%4.%5.%6.%7.%8."/>
      <w:lvlJc w:val="left"/>
      <w:pPr>
        <w:ind w:hanging="360" w:left="5760"/>
      </w:pPr>
    </w:lvl>
    <w:lvl w:ilvl="8">
      <w:start w:val="1"/>
      <w:numFmt w:val="lowerRoman"/>
      <w:lvlText w:val="%2.%3.%4.%5.%6.%7.%8.%9."/>
      <w:lvlJc w:val="right"/>
      <w:pPr>
        <w:ind w:hanging="180" w:left="6480"/>
      </w:pPr>
    </w:lvl>
  </w:abstractNum>
  <w:abstractNum w:abstractNumId="3">
    <w:lvl w:ilvl="0">
      <w:start w:val="1"/>
      <w:numFmt w:val="decimal"/>
      <w:lvlText w:val="%1."/>
      <w:lvlJc w:val="left"/>
      <w:pPr>
        <w:ind w:hanging="360" w:left="1440"/>
      </w:pPr>
    </w:lvl>
    <w:lvl w:ilvl="1">
      <w:start w:val="1"/>
      <w:numFmt w:val="lowerLetter"/>
      <w:lvlText w:val="%2."/>
      <w:lvlJc w:val="left"/>
      <w:pPr>
        <w:ind w:hanging="360" w:left="2160"/>
      </w:pPr>
    </w:lvl>
    <w:lvl w:ilvl="2">
      <w:start w:val="1"/>
      <w:numFmt w:val="lowerRoman"/>
      <w:lvlText w:val="%2.%3."/>
      <w:lvlJc w:val="right"/>
      <w:pPr>
        <w:ind w:hanging="180" w:left="2880"/>
      </w:pPr>
    </w:lvl>
    <w:lvl w:ilvl="3">
      <w:start w:val="1"/>
      <w:numFmt w:val="decimal"/>
      <w:lvlText w:val="%2.%3.%4."/>
      <w:lvlJc w:val="left"/>
      <w:pPr>
        <w:ind w:hanging="360" w:left="3600"/>
      </w:pPr>
    </w:lvl>
    <w:lvl w:ilvl="4">
      <w:start w:val="1"/>
      <w:numFmt w:val="lowerLetter"/>
      <w:lvlText w:val="%2.%3.%4.%5."/>
      <w:lvlJc w:val="left"/>
      <w:pPr>
        <w:ind w:hanging="360" w:left="4320"/>
      </w:pPr>
    </w:lvl>
    <w:lvl w:ilvl="5">
      <w:start w:val="1"/>
      <w:numFmt w:val="lowerRoman"/>
      <w:lvlText w:val="%2.%3.%4.%5.%6."/>
      <w:lvlJc w:val="right"/>
      <w:pPr>
        <w:ind w:hanging="180" w:left="5040"/>
      </w:pPr>
    </w:lvl>
    <w:lvl w:ilvl="6">
      <w:start w:val="1"/>
      <w:numFmt w:val="decimal"/>
      <w:lvlText w:val="%2.%3.%4.%5.%6.%7."/>
      <w:lvlJc w:val="left"/>
      <w:pPr>
        <w:ind w:hanging="360" w:left="5760"/>
      </w:pPr>
    </w:lvl>
    <w:lvl w:ilvl="7">
      <w:start w:val="1"/>
      <w:numFmt w:val="lowerLetter"/>
      <w:lvlText w:val="%2.%3.%4.%5.%6.%7.%8."/>
      <w:lvlJc w:val="left"/>
      <w:pPr>
        <w:ind w:hanging="360" w:left="6480"/>
      </w:pPr>
    </w:lvl>
    <w:lvl w:ilvl="8">
      <w:start w:val="1"/>
      <w:numFmt w:val="lowerRoman"/>
      <w:lvlText w:val="%2.%3.%4.%5.%6.%7.%8.%9."/>
      <w:lvlJc w:val="right"/>
      <w:pPr>
        <w:ind w:hanging="180" w:left="720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tyles.xml><?xml version="1.0" encoding="utf-8"?>
<w:styles xmlns:w="http://schemas.openxmlformats.org/wordprocessingml/2006/main">
  <w:style w:styleId="style0" w:type="paragraph">
    <w:name w:val="Domyślnie"/>
    <w:next w:val="style0"/>
    <w:pPr>
      <w:widowControl/>
      <w:tabs>
        <w:tab w:leader="none" w:pos="708" w:val="left"/>
      </w:tabs>
      <w:suppressAutoHyphens w:val="true"/>
      <w:spacing w:after="160" w:before="0" w:line="256" w:lineRule="auto"/>
    </w:pPr>
    <w:rPr>
      <w:rFonts w:ascii="Calibri" w:cs="" w:eastAsia="SimSun" w:hAnsi="Calibri"/>
      <w:color w:val="auto"/>
      <w:sz w:val="22"/>
      <w:szCs w:val="22"/>
      <w:lang w:bidi="ar-SA" w:eastAsia="en-US" w:val="pl-PL"/>
    </w:rPr>
  </w:style>
  <w:style w:styleId="style15" w:type="character">
    <w:name w:val="Default Paragraph Font"/>
    <w:next w:val="style15"/>
    <w:rPr/>
  </w:style>
  <w:style w:styleId="style16" w:type="character">
    <w:name w:val="ListLabel 1"/>
    <w:next w:val="style16"/>
    <w:rPr>
      <w:i w:val="false"/>
    </w:rPr>
  </w:style>
  <w:style w:styleId="style17" w:type="paragraph">
    <w:name w:val="Nagłówek"/>
    <w:basedOn w:val="style0"/>
    <w:next w:val="style18"/>
    <w:pPr>
      <w:keepNext/>
      <w:spacing w:after="120" w:before="240"/>
    </w:pPr>
    <w:rPr>
      <w:rFonts w:ascii="Arial" w:cs="Mangal" w:eastAsia="Microsoft YaHei" w:hAnsi="Arial"/>
      <w:sz w:val="28"/>
      <w:szCs w:val="28"/>
    </w:rPr>
  </w:style>
  <w:style w:styleId="style18" w:type="paragraph">
    <w:name w:val="Treść tekstu"/>
    <w:basedOn w:val="style0"/>
    <w:next w:val="style18"/>
    <w:pPr>
      <w:spacing w:after="120" w:before="0"/>
    </w:pPr>
    <w:rPr/>
  </w:style>
  <w:style w:styleId="style19" w:type="paragraph">
    <w:name w:val="Lista"/>
    <w:basedOn w:val="style18"/>
    <w:next w:val="style19"/>
    <w:pPr/>
    <w:rPr>
      <w:rFonts w:cs="Mangal"/>
    </w:rPr>
  </w:style>
  <w:style w:styleId="style20" w:type="paragraph">
    <w:name w:val="Podpis"/>
    <w:basedOn w:val="style0"/>
    <w:next w:val="style20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1" w:type="paragraph">
    <w:name w:val="Indeks"/>
    <w:basedOn w:val="style0"/>
    <w:next w:val="style21"/>
    <w:pPr>
      <w:suppressLineNumbers/>
    </w:pPr>
    <w:rPr>
      <w:rFonts w:cs="Mangal"/>
    </w:rPr>
  </w:style>
  <w:style w:styleId="style22" w:type="paragraph">
    <w:name w:val="List Paragraph"/>
    <w:basedOn w:val="style0"/>
    <w:next w:val="style22"/>
    <w:pPr>
      <w:ind w:hanging="0" w:left="720" w:right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2014-12-24T07:32:00.00Z</dcterms:created>
  <dc:creator>Kalisz Renata Bogumiła</dc:creator>
  <cp:lastModifiedBy>Kalisz Renata Bogumiła</cp:lastModifiedBy>
  <dcterms:modified xsi:type="dcterms:W3CDTF">2014-12-24T07:34:00.00Z</dcterms:modified>
  <cp:revision>1</cp:revision>
</cp:coreProperties>
</file>