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B05" w:rsidRPr="00854B05" w:rsidRDefault="00854B05" w:rsidP="00854B05">
      <w:pPr>
        <w:spacing w:after="0"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07/06/2017    S107    - - Dostawy - Dodatkowe informacje - Procedura otwarta  </w:t>
      </w:r>
    </w:p>
    <w:p w:rsidR="00854B05" w:rsidRPr="00854B05" w:rsidRDefault="00854B05" w:rsidP="00854B05">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854B05">
        <w:rPr>
          <w:rFonts w:ascii="Times New Roman" w:eastAsia="Times New Roman" w:hAnsi="Times New Roman" w:cs="Times New Roman"/>
          <w:b/>
          <w:bCs/>
          <w:sz w:val="24"/>
          <w:szCs w:val="24"/>
          <w:lang w:eastAsia="pl-PL"/>
        </w:rPr>
        <w:t>Polska-Warszawa: Odczynniki chemiczne</w:t>
      </w:r>
    </w:p>
    <w:p w:rsidR="00854B05" w:rsidRPr="00854B05" w:rsidRDefault="00854B05" w:rsidP="00854B05">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854B05">
        <w:rPr>
          <w:rFonts w:ascii="Times New Roman" w:eastAsia="Times New Roman" w:hAnsi="Times New Roman" w:cs="Times New Roman"/>
          <w:b/>
          <w:bCs/>
          <w:sz w:val="24"/>
          <w:szCs w:val="24"/>
          <w:lang w:eastAsia="pl-PL"/>
        </w:rPr>
        <w:t>2017/S 107-216032</w:t>
      </w:r>
    </w:p>
    <w:p w:rsidR="00854B05" w:rsidRPr="00854B05" w:rsidRDefault="00854B05" w:rsidP="00854B05">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854B05">
        <w:rPr>
          <w:rFonts w:ascii="Times New Roman" w:eastAsia="Times New Roman" w:hAnsi="Times New Roman" w:cs="Times New Roman"/>
          <w:b/>
          <w:bCs/>
          <w:sz w:val="24"/>
          <w:szCs w:val="24"/>
          <w:lang w:eastAsia="pl-PL"/>
        </w:rPr>
        <w:t xml:space="preserve">Instytut Hematologii i Transfuzjologii, ul. Indiry Gandhi 14, Osoba do kontaktów: Krystyna Sobczak, Warszawa 02-776, Polska. Tel.: +48 223496222. Faks: +48 223496223. E-mail: zaopat@ihit.waw.pl </w:t>
      </w:r>
    </w:p>
    <w:p w:rsidR="00854B05" w:rsidRPr="00854B05" w:rsidRDefault="00854B05" w:rsidP="00854B05">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854B05">
        <w:rPr>
          <w:rFonts w:ascii="Times New Roman" w:eastAsia="Times New Roman" w:hAnsi="Times New Roman" w:cs="Times New Roman"/>
          <w:b/>
          <w:bCs/>
          <w:i/>
          <w:iCs/>
          <w:sz w:val="24"/>
          <w:szCs w:val="24"/>
          <w:lang w:eastAsia="pl-PL"/>
        </w:rPr>
        <w:t xml:space="preserve">(Suplement do Dziennika Urzędowego Unii Europejskiej, 2.6.2017, </w:t>
      </w:r>
      <w:hyperlink r:id="rId4" w:history="1">
        <w:r w:rsidRPr="00854B05">
          <w:rPr>
            <w:rFonts w:ascii="Times New Roman" w:eastAsia="Times New Roman" w:hAnsi="Times New Roman" w:cs="Times New Roman"/>
            <w:b/>
            <w:bCs/>
            <w:i/>
            <w:iCs/>
            <w:color w:val="0000FF"/>
            <w:sz w:val="24"/>
            <w:szCs w:val="24"/>
            <w:u w:val="single"/>
            <w:lang w:eastAsia="pl-PL"/>
          </w:rPr>
          <w:t>2017/S 105-210951</w:t>
        </w:r>
      </w:hyperlink>
      <w:r w:rsidRPr="00854B05">
        <w:rPr>
          <w:rFonts w:ascii="Times New Roman" w:eastAsia="Times New Roman" w:hAnsi="Times New Roman" w:cs="Times New Roman"/>
          <w:b/>
          <w:bCs/>
          <w:i/>
          <w:iCs/>
          <w:sz w:val="24"/>
          <w:szCs w:val="24"/>
          <w:lang w:eastAsia="pl-PL"/>
        </w:rPr>
        <w:t>)</w:t>
      </w:r>
      <w:r w:rsidRPr="00854B05">
        <w:rPr>
          <w:rFonts w:ascii="Times New Roman" w:eastAsia="Times New Roman" w:hAnsi="Times New Roman" w:cs="Times New Roman"/>
          <w:b/>
          <w:bCs/>
          <w:sz w:val="24"/>
          <w:szCs w:val="24"/>
          <w:lang w:eastAsia="pl-PL"/>
        </w:rPr>
        <w:t xml:space="preserve"> </w:t>
      </w:r>
    </w:p>
    <w:p w:rsidR="00854B05" w:rsidRPr="00854B05" w:rsidRDefault="00854B05" w:rsidP="00854B05">
      <w:pPr>
        <w:spacing w:after="0"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Przedmiot zamówienia:</w:t>
      </w:r>
      <w:r w:rsidRPr="00854B05">
        <w:rPr>
          <w:rFonts w:ascii="Times New Roman" w:eastAsia="Times New Roman" w:hAnsi="Times New Roman" w:cs="Times New Roman"/>
          <w:sz w:val="24"/>
          <w:szCs w:val="24"/>
          <w:lang w:eastAsia="pl-PL"/>
        </w:rPr>
        <w:br/>
        <w:t>CPV:33696300, 33696500, 33696200, 38000000, 19520000</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Odczynniki chemiczne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Odczynniki laboratoryjne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Odczynniki do badania krwi</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Sprzęt laboratoryjny, optyczny i precyzyjny (z wyjątkiem szklanego)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Produkty z tworzyw sztucznych</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b/>
          <w:bCs/>
          <w:sz w:val="24"/>
          <w:szCs w:val="24"/>
          <w:u w:val="single"/>
          <w:lang w:eastAsia="pl-PL"/>
        </w:rPr>
        <w:t xml:space="preserve">Zamiast:  </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III.2.1) Sytuacja podmiotowa wykonawców, w tym wymogi związane z wpisem do rejestru zawodowego lub handlowego: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VI.3) Informacje dodatkowe: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t>
      </w:r>
    </w:p>
    <w:p w:rsidR="00854B05" w:rsidRPr="00854B05" w:rsidRDefault="00854B05" w:rsidP="00854B05">
      <w:pPr>
        <w:spacing w:after="0"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b/>
          <w:bCs/>
          <w:sz w:val="24"/>
          <w:szCs w:val="24"/>
          <w:u w:val="single"/>
          <w:lang w:eastAsia="pl-PL"/>
        </w:rPr>
        <w:t xml:space="preserve">Powinno być:  </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III.2.1) Sytuacja podmiotowa wykonawców, w tym wymogi związane z wpisem do rejestru zawodowego lub handlowego: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1. W celu wstępnego potwierdzenia spełnienia warunków udziału w postępowaniu oraz braku podstaw do wykluczenia należy przedłożyć wraz z ofertą:</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Oświadczenia na formularzu „jednolitego dokumentu”( cz. III)</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Informacje zawarte w oświadczeniu stanowią wstępne potwierdzenie, że wykonawca nie podlega wykluczeniu na podstawie art. 24 ust. 1. i 24 ust. 5 pkt. 1</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 Zamawiający przed udzieleniem zamówienia, wezwie Wykonawcę, którego oferta została najwyżej oceniona, do złożenia w wyznaczonym, nie krótszym niż 10 dni, terminie aktualnych na dzień złożenia niżej wymienionych dokumentów potwierdzających brak podstaw do wykluczenia jeżeli Wykonawca nie wskazał w jednolitym dokumencie miejsca pobrania lub wykorzystania dokumentu złożonego do innego postępowania prowadzonego przez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2.1. Aktualnego odpisu z właściwego rejestru lub z centralnej ewidencji i informacji o działalności gospodarczej, jeżeli odrębne przepisy wymagają wpisu do rejestru lub ewidencji – wystawiony nie wcześniej, niż 6 miesięcy przed dniem składania ofert.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związku z art. 26 ust. 6 w przypadku, gdy Wykonawca wskaże w ofercie dostępność w/w dokumentu w formie elektronicznej pod określonym adresem internetowym Zamawiający we własnym zakresie pobierze ten dokument, chyba że Zamawiający jest już w jego posiadaniu – należy przedłożyć lub wskazać w JEDZ miejsca pobrania lub wykorzystania dokumentu złożonego do innego postępowania prowadzonego przez Zamawiającego (należy wskazać numer procedury).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2.2. Aktualnego zaświadczenia właściwego naczelnika urzędu skarbowego potwierdzającego, że wykonawca nie zalega z opłacaniem podatków, wystawionego nie wcześniej niż 3 miesiące przed upływem terminu składania ofert albo wniosków o dopuszczenie do udziału w postepowaniu, lub innego dokumentu potwierdzającego, że wykonawca zawarł porozumienie z właściwym organem</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2.3. Aktualnego zaświadczenia właściwej terenowej jednostki organizacyjnej Zakładu Ubezpieczeń Społecznych lub Kasy Rolniczego Ubezpieczenia Społecznego albo innego dokumentu potwierdzającego, ze wykonawca nie zalega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 opłacaniem składek na ubezpieczenie społeczne lub zdrowotne, wystawionego nie wcześniej</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niż 3 miesiące przed upływem terminu składania ofert lub wniosków o dopuszczenie do udziału</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postępowaniu, lub innego dokumentu potwierdzającego, że wykonawca zawarł porozumienie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 właściwym organem w sprawie spłat tych należności wraz z ewentualnymi odsetkami</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lub grzywnami, w szczególności uzyskał przewidziane prawem zwolnienie, odroczenie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lub rozłożenie na raty zaległych płatności lub wstrzymanie w całości wykonania decyzji właściwego organu – lub wskazania w jednolitym dokumencie miejsca pobrania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lub wykorzystania dokumentu złożonego do innego postępowania.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 (JEDZ).</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2.5. Aktualnej informacji Krajowego Rejestru Karnego w zakresie określonym w art.24 ust.1 pkt 13-14 i pkt. 21 ustawy </w:t>
      </w:r>
      <w:proofErr w:type="spellStart"/>
      <w:r w:rsidRPr="00854B05">
        <w:rPr>
          <w:rFonts w:ascii="Times New Roman" w:eastAsia="Times New Roman" w:hAnsi="Times New Roman" w:cs="Times New Roman"/>
          <w:sz w:val="24"/>
          <w:szCs w:val="24"/>
          <w:lang w:eastAsia="pl-PL"/>
        </w:rPr>
        <w:t>Pzp</w:t>
      </w:r>
      <w:proofErr w:type="spellEnd"/>
      <w:r w:rsidRPr="00854B05">
        <w:rPr>
          <w:rFonts w:ascii="Times New Roman" w:eastAsia="Times New Roman" w:hAnsi="Times New Roman" w:cs="Times New Roman"/>
          <w:sz w:val="24"/>
          <w:szCs w:val="24"/>
          <w:lang w:eastAsia="pl-PL"/>
        </w:rPr>
        <w:t>- wystawionej nie wcześniej niż 6 miesięcy przed upływem składania ofert.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2.6. Oświadczenia wykonawcy o braku orzeczenia wobec niego tytułem środka zapobiegawczego zakazu ubiegania się o zamówienie publiczne (JEDZ).</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3. Wykonawca w terminie 3 dni od dnia zamieszczenia na stronie internetowej Zamawiającego informacji z otwarcia ofert przekazuje Zamawiającemu:</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oświadczenie Wykonawcy o przynależności lub braku przynależności do tej samej grupy kapitałowej, o której mowa w art. 24 ust. 1 pkt 23 ustawy </w:t>
      </w:r>
      <w:proofErr w:type="spellStart"/>
      <w:r w:rsidRPr="00854B05">
        <w:rPr>
          <w:rFonts w:ascii="Times New Roman" w:eastAsia="Times New Roman" w:hAnsi="Times New Roman" w:cs="Times New Roman"/>
          <w:sz w:val="24"/>
          <w:szCs w:val="24"/>
          <w:lang w:eastAsia="pl-PL"/>
        </w:rPr>
        <w:t>Pzp</w:t>
      </w:r>
      <w:proofErr w:type="spellEnd"/>
      <w:r w:rsidRPr="00854B05">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1) Oświadczenie, o którym mowa powyżej winno być złożone w oryginale, a dowody w oryginale lub kopii poświadczonej za zgodność z oryginałem przez Wykonawcę (osoby uprawnione do reprezentowania Wykonawcy).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3) oświadczenie i/lub dowody w języku obcym winny być składane wraz z tłumaczeniem na język polski</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pkt 1–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pkt. 2-4 – składa dokument lub dokumenty wystawione w kraju, w którym ma siedzibę lub miejsce zamieszkania, potwierdzając odpowiednio, że: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nie otwarto jego likwidacji ani nie ogłoszono upadłości (dokument wystawiony nie wcześniej niż 6 miesięcy przed upływem terminu składania ofert);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W przypadku wątpliwości, co do treści dokumentu złożonego przez Wykonawcę mającego siedzibę lub miejsce zamieszkania poza terytorium Rzeczypospolitej Polskiej, Zamawiający </w:t>
      </w:r>
      <w:r w:rsidRPr="00854B05">
        <w:rPr>
          <w:rFonts w:ascii="Times New Roman" w:eastAsia="Times New Roman" w:hAnsi="Times New Roman" w:cs="Times New Roman"/>
          <w:sz w:val="24"/>
          <w:szCs w:val="24"/>
          <w:lang w:eastAsia="pl-PL"/>
        </w:rPr>
        <w:lastRenderedPageBreak/>
        <w:t>może zwrócić się do właściwych organów odpowiednio kraju, w którym Wykonawca ma siedzibę lub miejsce zamieszkania lub miejsce zamieszkania ma osoba, której dokument dotyczy, o udzielenie niezbędnych informacji dotyczących tego dokumentu.</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Dokument pełnomocnictwa musi być załączony do oferty i zawierać w szczególności wskazania: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postępowania o zamówienie publiczne, którego dotyczy;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Wykonawców ubiegających się wspólnie o udzielenie zamówienia;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ustanowionego Pełnomocnika oraz zakres jego umocowania, obejmujący przede wszystkim:</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1) reprezentowanie konsorcjum w postępowaniu o udzielenie zamówienia publicznego,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2) zaciąganie w imieniu konsorcjum zobowiązań,</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3) złożenie oferty wspólnie,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4) prowadzenie korespondencji i podejmowanie zobowiązań związanych z postępowaniem 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zamówienie publiczne.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przypadków podmiotów występujących wspólnie (konsorcjum, spółka cywilna) każdy z uczestników musi załączyć do oferty oświadczenia na Formularzu JEDZ i dokumenty określone w Rozdziale III SIWZ pkt. 1.1- 1.6,2 ,3.</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VI.3) Informacje dodatkowe: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Zamawiający przed udzieleniem zamówienia, wezwie Wykonawcę, którego oferta została najwyżej oceniona, do złożenia w wyznaczonym, nie krótszym niż 10 dni, terminie aktualnych na dzień złożenia niżej wymienionych dokumentów potwierdzających, że oferowane dostawy odpowiadają wymaganiom określonym przez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Świadectwa dopuszczającego przedmiot zamówienia do obrotu i używania na terenie Polski – zgodnie z aktualnymi przepisami ustawy o wyrobach medycznych</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Ponadto Wykonawca powinien złożyć wraz z ofertą:</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Wypełniony formularz ofertowy – załącznik nr 4 do SIWZ oraz Specyfikację Asortymentowo-Cenową – załącznik nr 5 do SIWZ.</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Katalogi oferowanych produktów lub inne dokumenty potwierdzające spełnienie wszystkich parametrów określonych w Załączniku nr 5 do SIWZ – dotyczy zadań: 1-5,7-8,10,12-21,24-29,31</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Wskazane przez Zamawiającego w Załączniku nr 5 nazwy i numery katalogowe zostały podane w celu prawidłowego określenia przedmiotu zamówienia i służą ustaleniu oczekiwanej klasy odczynnika. Zgodnie z art. 29 ust 3 Prawo zamówień publicznych z </w:t>
      </w:r>
      <w:proofErr w:type="spellStart"/>
      <w:r w:rsidRPr="00854B05">
        <w:rPr>
          <w:rFonts w:ascii="Times New Roman" w:eastAsia="Times New Roman" w:hAnsi="Times New Roman" w:cs="Times New Roman"/>
          <w:sz w:val="24"/>
          <w:szCs w:val="24"/>
          <w:lang w:eastAsia="pl-PL"/>
        </w:rPr>
        <w:t>późn</w:t>
      </w:r>
      <w:proofErr w:type="spellEnd"/>
      <w:r w:rsidRPr="00854B05">
        <w:rPr>
          <w:rFonts w:ascii="Times New Roman" w:eastAsia="Times New Roman" w:hAnsi="Times New Roman" w:cs="Times New Roman"/>
          <w:sz w:val="24"/>
          <w:szCs w:val="24"/>
          <w:lang w:eastAsia="pl-PL"/>
        </w:rPr>
        <w:t xml:space="preserve">. zm. Zamawiający dopuszcza składanie ofert równoważnych. Zaoferowane przez Wykonawcę odczynniki równoważne muszą odpowiadać wszystkim cechom jakościowym określonym przez producenta danego odczynnika w specyfikacji jakościowej. Asortyment zaproponowany jako równoważny nie może odbiegać jakością, standardem, parametrami technicznymi od założonych przez Zamawiającego. Wykonawca, który powołuje się na rozwiązania równoważne jest zobowiązany wykazać, że oferowane przez niego dostawy spełniają wymagania Zamawiającego (art. 30 ust. 5 ustawy </w:t>
      </w:r>
      <w:proofErr w:type="spellStart"/>
      <w:r w:rsidRPr="00854B05">
        <w:rPr>
          <w:rFonts w:ascii="Times New Roman" w:eastAsia="Times New Roman" w:hAnsi="Times New Roman" w:cs="Times New Roman"/>
          <w:sz w:val="24"/>
          <w:szCs w:val="24"/>
          <w:lang w:eastAsia="pl-PL"/>
        </w:rPr>
        <w:t>Pzp</w:t>
      </w:r>
      <w:proofErr w:type="spellEnd"/>
      <w:r w:rsidRPr="00854B05">
        <w:rPr>
          <w:rFonts w:ascii="Times New Roman" w:eastAsia="Times New Roman" w:hAnsi="Times New Roman" w:cs="Times New Roman"/>
          <w:sz w:val="24"/>
          <w:szCs w:val="24"/>
          <w:lang w:eastAsia="pl-PL"/>
        </w:rPr>
        <w:t xml:space="preserve">). Ciężar dowodowy w zakresie udowodnienia równoważności zaoferowanych rozwiązań spoczywa na Wykonawcy, składającym ofertę </w:t>
      </w:r>
      <w:proofErr w:type="spellStart"/>
      <w:r w:rsidRPr="00854B05">
        <w:rPr>
          <w:rFonts w:ascii="Times New Roman" w:eastAsia="Times New Roman" w:hAnsi="Times New Roman" w:cs="Times New Roman"/>
          <w:sz w:val="24"/>
          <w:szCs w:val="24"/>
          <w:lang w:eastAsia="pl-PL"/>
        </w:rPr>
        <w:t>równoważną.W</w:t>
      </w:r>
      <w:proofErr w:type="spellEnd"/>
      <w:r w:rsidRPr="00854B05">
        <w:rPr>
          <w:rFonts w:ascii="Times New Roman" w:eastAsia="Times New Roman" w:hAnsi="Times New Roman" w:cs="Times New Roman"/>
          <w:sz w:val="24"/>
          <w:szCs w:val="24"/>
          <w:lang w:eastAsia="pl-PL"/>
        </w:rPr>
        <w:t xml:space="preserve">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 xml:space="preserve">Wykonawca ma obowiązek opisać załączone dokumenty, którego zadania i pozycji dotyczą oraz (o ile dokumenty dotyczą wielu pozycji) wyraźnie zaznaczyć oferowany przedmiot zamówienia (np. kolorowym </w:t>
      </w:r>
      <w:proofErr w:type="spellStart"/>
      <w:r w:rsidRPr="00854B05">
        <w:rPr>
          <w:rFonts w:ascii="Times New Roman" w:eastAsia="Times New Roman" w:hAnsi="Times New Roman" w:cs="Times New Roman"/>
          <w:sz w:val="24"/>
          <w:szCs w:val="24"/>
          <w:lang w:eastAsia="pl-PL"/>
        </w:rPr>
        <w:t>zakreślaczem</w:t>
      </w:r>
      <w:proofErr w:type="spellEnd"/>
      <w:r w:rsidRPr="00854B05">
        <w:rPr>
          <w:rFonts w:ascii="Times New Roman" w:eastAsia="Times New Roman" w:hAnsi="Times New Roman" w:cs="Times New Roman"/>
          <w:sz w:val="24"/>
          <w:szCs w:val="24"/>
          <w:lang w:eastAsia="pl-PL"/>
        </w:rPr>
        <w: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Pozostałe wymagane dokumenty potwierdzające zgodność przedmiotu zamówienia zostały określone w załączniku nr 5, Specyfikacja asortymentowo –cenowa, parametry graniczne.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Umowa z Wykonawcą, którego ofertę uznano za najkorzystniejszą zostanie zawarta niezwłocznie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po zakończeniu postępowania o zamówienie publiczne i akceptacji wyników przetargu</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przez Dyrektora IHIT.</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Zgodnie z art. 144 ust. 1 ustawy Prawo zamówień publicznych Zamawiający zastrzega sobie możliwość wprowadzenia zmiany, w niżej przedstawionym zakresie: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Zmiany numeru katalogowego produktu.</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Zmiany sposobu konfekcjonowania-ogólna ilość przedmiotu zamówienia nie może być mniejsza niż ilość wymagana przez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Zmiany nazwy produktu przy zachowaniu jego parametrów.</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sytuacji, gdy zostanie wprowadzony do sprzedaży przez Producenta zmodyfikowany/udoskonalony produkt powodujący wycofanie dotychczasowego.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Powyższe zmiany nie mogą skutkować zmianą cen jednostkowych, wartości umowy i nie mogą być niekorzystne dla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przypadku zmiany w prawie właściwym dla podatków, które podwyższą lub obniżą cenę/y przedmiotu niniejszej umowy, to w zależności od rodzaju zmian jakie będą miały miejsce, zostanie stosownie obniżona/</w:t>
      </w:r>
      <w:proofErr w:type="spellStart"/>
      <w:r w:rsidRPr="00854B05">
        <w:rPr>
          <w:rFonts w:ascii="Times New Roman" w:eastAsia="Times New Roman" w:hAnsi="Times New Roman" w:cs="Times New Roman"/>
          <w:sz w:val="24"/>
          <w:szCs w:val="24"/>
          <w:lang w:eastAsia="pl-PL"/>
        </w:rPr>
        <w:t>ne</w:t>
      </w:r>
      <w:proofErr w:type="spellEnd"/>
      <w:r w:rsidRPr="00854B05">
        <w:rPr>
          <w:rFonts w:ascii="Times New Roman" w:eastAsia="Times New Roman" w:hAnsi="Times New Roman" w:cs="Times New Roman"/>
          <w:sz w:val="24"/>
          <w:szCs w:val="24"/>
          <w:lang w:eastAsia="pl-PL"/>
        </w:rPr>
        <w:t xml:space="preserve"> lub podwyższona/</w:t>
      </w:r>
      <w:proofErr w:type="spellStart"/>
      <w:r w:rsidRPr="00854B05">
        <w:rPr>
          <w:rFonts w:ascii="Times New Roman" w:eastAsia="Times New Roman" w:hAnsi="Times New Roman" w:cs="Times New Roman"/>
          <w:sz w:val="24"/>
          <w:szCs w:val="24"/>
          <w:lang w:eastAsia="pl-PL"/>
        </w:rPr>
        <w:t>ne</w:t>
      </w:r>
      <w:proofErr w:type="spellEnd"/>
      <w:r w:rsidRPr="00854B05">
        <w:rPr>
          <w:rFonts w:ascii="Times New Roman" w:eastAsia="Times New Roman" w:hAnsi="Times New Roman" w:cs="Times New Roman"/>
          <w:sz w:val="24"/>
          <w:szCs w:val="24"/>
          <w:lang w:eastAsia="pl-PL"/>
        </w:rPr>
        <w:t xml:space="preserve"> cena/y przedmiotu umowy oraz całkowita wartość przedmiotu umowy.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okresie trwania umowy cena może ulec zmianie w przypadku obniżenia ceny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przez producenta lub samego Wykonawcę.</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 przypadku nie wykorzystania w okresie trwania umowy pełnych ilości przedmiotu umowy Zamawiający przewiduje możliwość przedłużenia terminu jej obowiązywania. Cena jednostkowa w tym okresie nie może ulec zmianie.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Zamawiający może do końca trwania umowy nie dokonać zakupu pełnych ilości przedmiotu umowy także w przypadku przedłużenia terminu realizacji umowy.</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Zakup wg zasad określonych w ust. 2.8 nie rodzi po stronie Wykonawcy żadnych roszczeń odszkodowawczych wobec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Strony przewidują możliwość zmiany ilości zamawianego asortymentu w ramach wartości asortymentu określonego w danym zadaniu stanowiącym przedmiot niniejszej umowy, w przypadku zmiany potrzeb Zamawiającego.</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Zmiany mogą być dokonane na wniosek Zamawiającego lub Wykonawcy, za zgodą obu stron i dla swojej ważności wymagają formy pisemnej.</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Inne dodatkowe informacje</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lastRenderedPageBreak/>
        <w:t>Informacje do poprawienia lub dodania w odpowiedniej dokumentacji przetargowej.</w:t>
      </w:r>
    </w:p>
    <w:p w:rsidR="00854B05" w:rsidRPr="00854B05" w:rsidRDefault="00854B05" w:rsidP="00854B05">
      <w:pPr>
        <w:spacing w:before="100" w:beforeAutospacing="1" w:after="100" w:afterAutospacing="1" w:line="240" w:lineRule="auto"/>
        <w:rPr>
          <w:rFonts w:ascii="Times New Roman" w:eastAsia="Times New Roman" w:hAnsi="Times New Roman" w:cs="Times New Roman"/>
          <w:sz w:val="24"/>
          <w:szCs w:val="24"/>
          <w:lang w:eastAsia="pl-PL"/>
        </w:rPr>
      </w:pPr>
      <w:r w:rsidRPr="00854B05">
        <w:rPr>
          <w:rFonts w:ascii="Times New Roman" w:eastAsia="Times New Roman" w:hAnsi="Times New Roman" w:cs="Times New Roman"/>
          <w:sz w:val="24"/>
          <w:szCs w:val="24"/>
          <w:lang w:eastAsia="pl-PL"/>
        </w:rPr>
        <w:t>Więcej informacji w odpowiedniej dokumentacji przetargowej.</w:t>
      </w:r>
    </w:p>
    <w:p w:rsidR="008F6123" w:rsidRDefault="008F6123">
      <w:bookmarkStart w:id="0" w:name="_GoBack"/>
      <w:bookmarkEnd w:id="0"/>
    </w:p>
    <w:sectPr w:rsidR="008F61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B05"/>
    <w:rsid w:val="00854B05"/>
    <w:rsid w:val="008F612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8D1781-DBA0-4C54-AE7C-8DC327BC0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6779733">
      <w:bodyDiv w:val="1"/>
      <w:marLeft w:val="0"/>
      <w:marRight w:val="0"/>
      <w:marTop w:val="0"/>
      <w:marBottom w:val="0"/>
      <w:divBdr>
        <w:top w:val="none" w:sz="0" w:space="0" w:color="auto"/>
        <w:left w:val="none" w:sz="0" w:space="0" w:color="auto"/>
        <w:bottom w:val="none" w:sz="0" w:space="0" w:color="auto"/>
        <w:right w:val="none" w:sz="0" w:space="0" w:color="auto"/>
      </w:divBdr>
      <w:divsChild>
        <w:div w:id="1209297283">
          <w:marLeft w:val="0"/>
          <w:marRight w:val="0"/>
          <w:marTop w:val="0"/>
          <w:marBottom w:val="0"/>
          <w:divBdr>
            <w:top w:val="none" w:sz="0" w:space="0" w:color="auto"/>
            <w:left w:val="none" w:sz="0" w:space="0" w:color="auto"/>
            <w:bottom w:val="none" w:sz="0" w:space="0" w:color="auto"/>
            <w:right w:val="none" w:sz="0" w:space="0" w:color="auto"/>
          </w:divBdr>
          <w:divsChild>
            <w:div w:id="1807048466">
              <w:marLeft w:val="0"/>
              <w:marRight w:val="0"/>
              <w:marTop w:val="0"/>
              <w:marBottom w:val="0"/>
              <w:divBdr>
                <w:top w:val="none" w:sz="0" w:space="0" w:color="auto"/>
                <w:left w:val="none" w:sz="0" w:space="0" w:color="auto"/>
                <w:bottom w:val="none" w:sz="0" w:space="0" w:color="auto"/>
                <w:right w:val="none" w:sz="0" w:space="0" w:color="auto"/>
              </w:divBdr>
              <w:divsChild>
                <w:div w:id="1677921914">
                  <w:marLeft w:val="0"/>
                  <w:marRight w:val="0"/>
                  <w:marTop w:val="0"/>
                  <w:marBottom w:val="0"/>
                  <w:divBdr>
                    <w:top w:val="none" w:sz="0" w:space="0" w:color="auto"/>
                    <w:left w:val="none" w:sz="0" w:space="0" w:color="auto"/>
                    <w:bottom w:val="none" w:sz="0" w:space="0" w:color="auto"/>
                    <w:right w:val="none" w:sz="0" w:space="0" w:color="auto"/>
                  </w:divBdr>
                  <w:divsChild>
                    <w:div w:id="1992515099">
                      <w:marLeft w:val="0"/>
                      <w:marRight w:val="0"/>
                      <w:marTop w:val="0"/>
                      <w:marBottom w:val="0"/>
                      <w:divBdr>
                        <w:top w:val="none" w:sz="0" w:space="0" w:color="auto"/>
                        <w:left w:val="none" w:sz="0" w:space="0" w:color="auto"/>
                        <w:bottom w:val="none" w:sz="0" w:space="0" w:color="auto"/>
                        <w:right w:val="none" w:sz="0" w:space="0" w:color="auto"/>
                      </w:divBdr>
                      <w:divsChild>
                        <w:div w:id="1843272892">
                          <w:marLeft w:val="0"/>
                          <w:marRight w:val="0"/>
                          <w:marTop w:val="0"/>
                          <w:marBottom w:val="0"/>
                          <w:divBdr>
                            <w:top w:val="none" w:sz="0" w:space="0" w:color="auto"/>
                            <w:left w:val="none" w:sz="0" w:space="0" w:color="auto"/>
                            <w:bottom w:val="none" w:sz="0" w:space="0" w:color="auto"/>
                            <w:right w:val="none" w:sz="0" w:space="0" w:color="auto"/>
                          </w:divBdr>
                          <w:divsChild>
                            <w:div w:id="2042900895">
                              <w:marLeft w:val="0"/>
                              <w:marRight w:val="0"/>
                              <w:marTop w:val="0"/>
                              <w:marBottom w:val="0"/>
                              <w:divBdr>
                                <w:top w:val="none" w:sz="0" w:space="0" w:color="auto"/>
                                <w:left w:val="none" w:sz="0" w:space="0" w:color="auto"/>
                                <w:bottom w:val="none" w:sz="0" w:space="0" w:color="auto"/>
                                <w:right w:val="none" w:sz="0" w:space="0" w:color="auto"/>
                              </w:divBdr>
                            </w:div>
                            <w:div w:id="2084793037">
                              <w:marLeft w:val="0"/>
                              <w:marRight w:val="0"/>
                              <w:marTop w:val="0"/>
                              <w:marBottom w:val="0"/>
                              <w:divBdr>
                                <w:top w:val="none" w:sz="0" w:space="0" w:color="auto"/>
                                <w:left w:val="none" w:sz="0" w:space="0" w:color="auto"/>
                                <w:bottom w:val="none" w:sz="0" w:space="0" w:color="auto"/>
                                <w:right w:val="none" w:sz="0" w:space="0" w:color="auto"/>
                              </w:divBdr>
                              <w:divsChild>
                                <w:div w:id="80277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ed.europa.eu/udl?uri=TED:NOTICE:210951-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2264</Words>
  <Characters>13588</Characters>
  <Application>Microsoft Office Word</Application>
  <DocSecurity>0</DocSecurity>
  <Lines>113</Lines>
  <Paragraphs>31</Paragraphs>
  <ScaleCrop>false</ScaleCrop>
  <Company>Hewlett-Packard Company</Company>
  <LinksUpToDate>false</LinksUpToDate>
  <CharactersWithSpaces>15821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2017-06-07T08:37:00Z</dcterms:created>
  <dcterms:modified xsi:type="dcterms:W3CDTF">2017-06-07T08:38:00Z</dcterms:modified>
</cp:coreProperties>
</file>